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29 kwietnia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Starcza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skargi na działalność Wójta Gminy Starcza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1960r. Kodeks postępowania administracyjnego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Starcza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 zapoznaniu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treścią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 rozpatrzeniu skargi Pani Ireny 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 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na działalność Wójta Gminy Starcza, uznaje się w/w skargę za uzasadnioną/nieuzasadnioną.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Przewodniczącej Rady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E7802E9A-012C-4B39-B663-FA6891B0DDA9.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6 maja 2019 r.</dc:title>
  <dc:subject>w sprawie rozpatrzenia skargi na działalność Wójta Gminy Starcza</dc:subject>
  <dc:creator>Wacława Zych</dc:creator>
  <cp:lastModifiedBy>Wacława Zych</cp:lastModifiedBy>
  <cp:revision>1</cp:revision>
  <dcterms:created xsi:type="dcterms:W3CDTF">2019-04-29T08:24:37Z</dcterms:created>
  <dcterms:modified xsi:type="dcterms:W3CDTF">2019-04-29T08:24:37Z</dcterms:modified>
  <cp:category>Akt prawny</cp:category>
</cp:coreProperties>
</file>